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svgz" ContentType="image/svg+xml"/>
  <Override PartName="/word/media/rId30.png" ContentType="image/png"/>
  <Override PartName="/word/media/rId3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image26.png" ContentType="image/png"/>
  <Override PartName="/word/media/image15.png" ContentType="image/png"/>
  <Override PartName="/word/media/image1.png" ContentType="image/png"/>
  <Override PartName="/word/media/image2.svgz" ContentType="image/svg+xml"/>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25.png" ContentType="image/png"/>
  <Override PartName="/word/media/image14.png" ContentType="image/png"/>
  <Override PartName="/word/media/image13.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behavioural aspects like problem-solving, innovation, or alterations in one behaviour in favour of another</w:t>
      </w:r>
      <w:r>
        <w:t xml:space="preserve"> </w:t>
      </w:r>
      <w:r>
        <w:t xml:space="preserve">[</w:t>
      </w:r>
      <w:hyperlink w:anchor="ref-brown2010behavioral">
        <w:r>
          <w:rPr>
            <w:rStyle w:val="Hyperlink"/>
          </w:rPr>
          <w:t xml:space="preserve">1</w:t>
        </w:r>
      </w:hyperlink>
      <w:r>
        <w:t xml:space="preserve">]</w:t>
      </w:r>
      <w:r>
        <w:t xml:space="preserve">; and it is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Generally, species with greater behavioural flexibility are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in closely related bird species successful invaders show a higher frequency of foraging innovations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w:t>
      </w:r>
      <w:r>
        <w:t xml:space="preserve">creating uncertainty about how environmental insults faced by early invaders might impact behavioural flexibility and thus the probability of invasion success.</w:t>
      </w:r>
      <w:r>
        <w:br/>
      </w:r>
      <w:r>
        <w:rPr>
          <w:bCs/>
          <w:b/>
        </w:rPr>
        <w:t xml:space="preserve">BETTER LINK</w:t>
      </w:r>
      <w:r>
        <w:t xml:space="preserve">In this scenario, prenatal glucocorticoids (GCs) and the thermal environment can be salient factors in the study of behavioural flexibility within invasion biology. GCs are the main group of hormones related to animals’ response towards alterations in homeostasis</w:t>
      </w:r>
      <w:r>
        <w:t xml:space="preserve"> </w:t>
      </w:r>
      <w:r>
        <w:t xml:space="preserve">[</w:t>
      </w:r>
      <w:hyperlink w:anchor="ref-sapolsky_how_2000">
        <w:r>
          <w:rPr>
            <w:rStyle w:val="Hyperlink"/>
          </w:rPr>
          <w:t xml:space="preserve">10</w:t>
        </w:r>
      </w:hyperlink>
      <w:r>
        <w:t xml:space="preserve">]</w:t>
      </w:r>
      <w:r>
        <w:t xml:space="preserve"> </w:t>
      </w:r>
      <w:r>
        <w:t xml:space="preserve">that may become relevant when facing new environments and their new thermal conditions</w:t>
      </w:r>
      <w:r>
        <w:t xml:space="preserve"> </w:t>
      </w:r>
      <w:r>
        <w:t xml:space="preserve">[</w:t>
      </w:r>
      <w:hyperlink w:anchor="ref-Crino_2023">
        <w:r>
          <w:rPr>
            <w:rStyle w:val="Hyperlink"/>
          </w:rPr>
          <w:t xml:space="preserve">11</w:t>
        </w:r>
      </w:hyperlink>
      <w:r>
        <w:t xml:space="preserve">]</w:t>
      </w:r>
      <w:r>
        <w:t xml:space="preserve">. In addition, there is evidence that developmental GCs and thermal environment can impact cognition in different taxa</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12</w:t>
        </w:r>
      </w:hyperlink>
      <w:r>
        <w:t xml:space="preserve">–</w:t>
      </w:r>
      <w:hyperlink w:anchor="ref-lui2017chronic">
        <w:r>
          <w:rPr>
            <w:rStyle w:val="Hyperlink"/>
          </w:rPr>
          <w:t xml:space="preserve">14</w:t>
        </w:r>
      </w:hyperlink>
      <w:r>
        <w:t xml:space="preserve">]</w:t>
      </w:r>
      <w:r>
        <w:t xml:space="preserve">. For instance, young Sprague-Dawley rats treated with corticosterone (CORT) - the principal GC in rodents, birds, and reptiles</w:t>
      </w:r>
      <w:r>
        <w:t xml:space="preserve"> </w:t>
      </w:r>
      <w:r>
        <w:t xml:space="preserve">[</w:t>
      </w:r>
      <w:hyperlink w:anchor="ref-Crino_2023">
        <w:r>
          <w:rPr>
            <w:rStyle w:val="Hyperlink"/>
          </w:rPr>
          <w:t xml:space="preserve">11</w:t>
        </w:r>
      </w:hyperlink>
      <w:r>
        <w:t xml:space="preserve">]</w:t>
      </w:r>
      <w:r>
        <w:t xml:space="preserve"> </w:t>
      </w:r>
      <w:r>
        <w:t xml:space="preserve">- performed worse than controls in a reversal learning task</w:t>
      </w:r>
      <w:r>
        <w:t xml:space="preserve"> </w:t>
      </w:r>
      <w:r>
        <w:t xml:space="preserve">[</w:t>
      </w:r>
      <w:hyperlink w:anchor="ref-lui2017chronic">
        <w:r>
          <w:rPr>
            <w:rStyle w:val="Hyperlink"/>
          </w:rPr>
          <w:t xml:space="preserve">14</w:t>
        </w:r>
      </w:hyperlink>
      <w:r>
        <w:t xml:space="preserve">]</w:t>
      </w:r>
      <w:r>
        <w:t xml:space="preserve">, while cold incubation temperatures in the eastern three-lined skink resulted in significant impairments with associative and reversal learning</w:t>
      </w:r>
      <w:r>
        <w:t xml:space="preserve"> </w:t>
      </w:r>
      <w:r>
        <w:t xml:space="preserve">[</w:t>
      </w:r>
      <w:hyperlink w:anchor="ref-clark_colour_2014">
        <w:r>
          <w:rPr>
            <w:rStyle w:val="Hyperlink"/>
          </w:rPr>
          <w:t xml:space="preserve">15</w:t>
        </w:r>
      </w:hyperlink>
      <w:r>
        <w:t xml:space="preserve">]</w:t>
      </w:r>
      <w:r>
        <w:t xml:space="preserve">. Moreover, the cognitive effects of both factors are triggered by similar physiological mechanisms intertwined with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12</w:t>
        </w:r>
      </w:hyperlink>
      <w:r>
        <w:t xml:space="preserve">,</w:t>
      </w:r>
      <w:hyperlink w:anchor="ref-coomber_independent_1997">
        <w:r>
          <w:rPr>
            <w:rStyle w:val="Hyperlink"/>
          </w:rPr>
          <w:t xml:space="preserve">16</w:t>
        </w:r>
      </w:hyperlink>
      <w:r>
        <w:t xml:space="preserve">,</w:t>
      </w:r>
      <w:hyperlink w:anchor="ref-amiel_effects_2017">
        <w:r>
          <w:rPr>
            <w:rStyle w:val="Hyperlink"/>
          </w:rPr>
          <w:t xml:space="preserve">17</w:t>
        </w:r>
      </w:hyperlink>
      <w:r>
        <w:t xml:space="preserve">]</w:t>
      </w:r>
      <w:r>
        <w:t xml:space="preserve">, an aspect considered essential in successful invaders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w:t>
      </w:r>
      <w:r>
        <w:t xml:space="preserve"> </w:t>
      </w:r>
      <w:r>
        <w:t xml:space="preserve">Here, we studied the interactive effects of prenatal temperature and CORT on behavioural flexibility in two species with distinct histories of invasiveness,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 delicata</w:t>
      </w:r>
      <w:r>
        <w:t xml:space="preserve"> </w:t>
      </w:r>
      <w:r>
        <w:t xml:space="preserve">has been succesful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 [</w:t>
      </w:r>
      <w:r>
        <w:rPr>
          <w:bCs/>
          <w:b/>
        </w:rPr>
        <w:t xml:space="preserve">REFS</w:t>
      </w:r>
      <w:r>
        <w:t xml:space="preserve">], but the interactive role of maternal CORT and early temperatures have not yet been explored. Differences in the relative impact that early environments have on behavioural flexibility may help explain differing invasion success between the two species. We predicted that</w:t>
      </w:r>
      <w:r>
        <w:t xml:space="preserve"> </w:t>
      </w:r>
      <w:r>
        <w:rPr>
          <w:iCs/>
          <w:i/>
        </w:rPr>
        <w:t xml:space="preserve">L. delicata</w:t>
      </w:r>
      <w:r>
        <w:t xml:space="preserve"> </w:t>
      </w:r>
      <w:r>
        <w:t xml:space="preserve">would, on average, perform more proficiently in the task compared to</w:t>
      </w:r>
      <w:r>
        <w:t xml:space="preserve"> </w:t>
      </w:r>
      <w:r>
        <w:rPr>
          <w:iCs/>
          <w:i/>
        </w:rPr>
        <w:t xml:space="preserve">L. guichenoti</w:t>
      </w:r>
      <w:r>
        <w:t xml:space="preserve">. We also anticipated prenatal CORT and temperature to affect the behavioural flexibility of both species, and that</w:t>
      </w:r>
      <w:r>
        <w:t xml:space="preserve"> </w:t>
      </w:r>
      <w:r>
        <w:rPr>
          <w:iCs/>
          <w:i/>
        </w:rPr>
        <w:t xml:space="preserve">L. guichenoti</w:t>
      </w:r>
      <w:r>
        <w:t xml:space="preserve"> </w:t>
      </w:r>
      <w:r>
        <w:t xml:space="preserve">would be more impacted by the prenatal environment than</w:t>
      </w:r>
      <w:r>
        <w:t xml:space="preserve"> </w:t>
      </w:r>
      <w:r>
        <w:rPr>
          <w:iCs/>
          <w:i/>
        </w:rPr>
        <w:t xml:space="preserve">L. delicata</w:t>
      </w:r>
      <w:r>
        <w:t xml:space="preserve">.</w:t>
      </w:r>
    </w:p>
    <w:bookmarkEnd w:id="20"/>
    <w:bookmarkStart w:id="28" w:name="methods"/>
    <w:p>
      <w:pPr>
        <w:pStyle w:val="Heading2"/>
      </w:pPr>
      <w:r>
        <w:t xml:space="preserve">Methods</w:t>
      </w:r>
    </w:p>
    <w:bookmarkStart w:id="21"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24</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1"/>
    <w:bookmarkStart w:id="26"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they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to 12 am when they were most active.</w:t>
      </w:r>
      <w:r>
        <w:br/>
      </w:r>
      <w:r>
        <w:t xml:space="preserve">In associative and reversal tasks we used three different ramps that were identical in size and shape to the ones for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25</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r>
        <w:br/>
      </w: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5" w:name="fig-Methods"/>
          <w:p>
            <w:pPr>
              <w:jc w:val="center"/>
            </w:pPr>
            <w:r>
              <w:drawing>
                <wp:inline>
                  <wp:extent cx="3810000" cy="2540000"/>
                  <wp:effectExtent b="0" l="0" r="0" t="0"/>
                  <wp:docPr descr="" title="" id="23" name="Picture"/>
                  <a:graphic>
                    <a:graphicData uri="http://schemas.openxmlformats.org/drawingml/2006/picture">
                      <pic:pic>
                        <pic:nvPicPr>
                          <pic:cNvPr descr="./Others/BEHFLEX_FIG_1.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Stages 1-3 indicate the different phases of the habituation phase. In the associative and reversal tasks, white lids show the ramps where the food reward was not accessible.</w:t>
            </w:r>
          </w:p>
          <w:bookmarkEnd w:id="25"/>
        </w:tc>
      </w:tr>
    </w:tbl>
    <w:bookmarkEnd w:id="26"/>
    <w:bookmarkStart w:id="27" w:name="statistical-analyses"/>
    <w:p>
      <w:pPr>
        <w:pStyle w:val="Heading4"/>
      </w:pPr>
      <w:r>
        <w:t xml:space="preserve">Statistical analyses</w:t>
      </w:r>
    </w:p>
    <w:p>
      <w:pPr>
        <w:pStyle w:val="FirstParagraph"/>
      </w:pPr>
      <w:r>
        <w:t xml:space="preserve">We performed the analyses for each species separately. We fitted a total of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26</w:t>
        </w:r>
      </w:hyperlink>
      <w:r>
        <w:t xml:space="preserve">]</w:t>
      </w:r>
      <w:r>
        <w:t xml:space="preserve"> </w:t>
      </w:r>
      <w:r>
        <w:t xml:space="preserve">using the R extension (version 2.8.2)</w:t>
      </w:r>
      <w:r>
        <w:t xml:space="preserve"> </w:t>
      </w:r>
      <w:r>
        <w:t xml:space="preserve">[</w:t>
      </w:r>
      <w:hyperlink w:anchor="ref-R">
        <w:r>
          <w:rPr>
            <w:rStyle w:val="Hyperlink"/>
          </w:rPr>
          <w:t xml:space="preserve">27</w:t>
        </w:r>
      </w:hyperlink>
      <w:r>
        <w:t xml:space="preserve">]</w:t>
      </w:r>
      <w:r>
        <w:t xml:space="preserve"> </w:t>
      </w:r>
      <w:r>
        <w:t xml:space="preserve">for Visual Studio Code. We run four parallel MCMC chains of 3000 iterations for each model, with a warmup period of 1000 iterations. We used Choice - whether the individual chose correct (1) or not (0) -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 estimates of the variable trial per each level of the hormone-temperature interaction (Treatments); values greater than zero were considered as evidence of learning, while those less or equal to zero were not. We used the pmcmc method to test whether those slopes or the comparisons between treatments (e.g. slope for CORT-Cold lizards minus CORT-Hot lizards) or species differed from zero (two-tailed tests). We considered statistical significance if p-value &lt; 0.05.</w:t>
      </w:r>
    </w:p>
    <w:bookmarkEnd w:id="27"/>
    <w:bookmarkEnd w:id="28"/>
    <w:bookmarkStart w:id="38"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r>
        <w:rPr>
          <w:bCs/>
          <w:b/>
        </w:rPr>
        <w:t xml:space="preserve">?@tbl-data</w:t>
      </w:r>
      <w:r>
        <w:t xml:space="preserve">.</w:t>
      </w:r>
    </w:p>
    <w:bookmarkStart w:id="29"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p-value</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29"/>
    <w:p>
      <w:pPr>
        <w:pStyle w:val="BodyText"/>
      </w:pPr>
      <w:r>
        <w:t xml:space="preserve">We found that the learning slopes for all treatments and species were higher from zero (</w:t>
      </w:r>
      <w:r>
        <w:rPr>
          <w:bCs/>
          <w:b/>
        </w:rPr>
        <w:t xml:space="preserve">?@tbl-data</w:t>
      </w:r>
      <w:r>
        <w:t xml:space="preserve">), but we did not find any difference between treatments or species in the learning rate.</w:t>
      </w:r>
      <w:r>
        <w:br/>
      </w:r>
      <w:r>
        <w:t xml:space="preserve">For</w:t>
      </w:r>
      <w:r>
        <w:t xml:space="preserve"> </w:t>
      </w:r>
      <w:r>
        <w:rPr>
          <w:iCs/>
          <w:i/>
        </w:rPr>
        <w:t xml:space="preserve">L. delicata</w:t>
      </w:r>
      <w:r>
        <w:t xml:space="preserve">, we did not find any significant effects of the hormone (Control - CORT = 0.010, p-value = 0.591), incubation temperature (Hot - Cold = -0.001, p-value = 0.952), or the interaction ([(Control-Hot - CORT-Hot) - (Control-Cold - CORT-Cold)] = -0.034) (see</w:t>
      </w:r>
      <w:r>
        <w:t xml:space="preserve"> </w:t>
      </w:r>
      <w:hyperlink w:anchor="fig-deli">
        <w:r>
          <w:rPr>
            <w:rStyle w:val="Hyperlink"/>
          </w:rPr>
          <w:t xml:space="preserve">Fig. 2</w:t>
        </w:r>
      </w:hyperlink>
      <w:r>
        <w:t xml:space="preserve">).</w:t>
      </w:r>
    </w:p>
    <w:tbl>
      <w:tblPr>
        <w:tblStyle w:val="Table"/>
        <w:tblW w:type="pct" w:w="5000"/>
        <w:tblLook w:firstRow="0" w:lastRow="0" w:firstColumn="0" w:lastColumn="0" w:noHBand="0" w:noVBand="0" w:val="0000"/>
        <w:jc w:val="start"/>
      </w:tblPr>
      <w:tblGrid>
        <w:gridCol w:w="7920"/>
      </w:tblGrid>
      <w:tr>
        <w:tc>
          <w:tcPr/>
          <w:bookmarkStart w:id="33" w:name="fig-deli"/>
          <w:p>
            <w:pPr>
              <w:jc w:val="center"/>
            </w:pPr>
            <w:r>
              <w:drawing>
                <wp:inline>
                  <wp:extent cx="5943600" cy="2971800"/>
                  <wp:effectExtent b="0" l="0" r="0" t="0"/>
                  <wp:docPr descr="" title="" id="31" name="Picture"/>
                  <a:graphic>
                    <a:graphicData uri="http://schemas.openxmlformats.org/drawingml/2006/picture">
                      <pic:pic>
                        <pic:nvPicPr>
                          <pic:cNvPr descr="./output/figures/fig_deli.png" id="32" name="Picture"/>
                          <pic:cNvPicPr>
                            <a:picLocks noChangeArrowheads="1" noChangeAspect="1"/>
                          </pic:cNvPicPr>
                        </pic:nvPicPr>
                        <pic:blipFill>
                          <a:blip r:embed="rId30"/>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Distribution of the estimates of the slopes per each treatment. The x-axis represents the estimates of the slopes, and the y-axis represents the density of the estimates. The different colours represent the different treatments.</w:t>
            </w:r>
          </w:p>
          <w:bookmarkEnd w:id="33"/>
        </w:tc>
      </w:tr>
    </w:tbl>
    <w:p>
      <w:pPr>
        <w:pStyle w:val="BodyText"/>
      </w:pPr>
      <w:r>
        <w:t xml:space="preserve">For</w:t>
      </w:r>
      <w:r>
        <w:t xml:space="preserve"> </w:t>
      </w:r>
      <w:r>
        <w:rPr>
          <w:iCs/>
          <w:i/>
        </w:rPr>
        <w:t xml:space="preserve">L. guichenoti</w:t>
      </w:r>
      <w:r>
        <w:t xml:space="preserve">, we did not find any significant effects of the hormone (Control - CORT = 0.010, p-value = 0.690), incubation temperature (Hot - Cold = 0.018, p-value = 0.480), or the interaction ([(Control-Hot - CORT-Hot) - (Control-Cold - CORT-Cold)] = -0.016) (</w:t>
      </w:r>
      <w:hyperlink w:anchor="fig-guich">
        <w:r>
          <w:rPr>
            <w:rStyle w:val="Hyperlink"/>
          </w:rPr>
          <w:t xml:space="preserve">Fig. 3</w:t>
        </w:r>
      </w:hyperlink>
      <w:r>
        <w:t xml:space="preserve">).</w:t>
      </w:r>
    </w:p>
    <w:tbl>
      <w:tblPr>
        <w:tblStyle w:val="Table"/>
        <w:tblW w:type="pct" w:w="5000"/>
        <w:tblLook w:firstRow="0" w:lastRow="0" w:firstColumn="0" w:lastColumn="0" w:noHBand="0" w:noVBand="0" w:val="0000"/>
        <w:jc w:val="start"/>
      </w:tblPr>
      <w:tblGrid>
        <w:gridCol w:w="7920"/>
      </w:tblGrid>
      <w:tr>
        <w:tc>
          <w:tcPr/>
          <w:bookmarkStart w:id="37" w:name="fig-guich"/>
          <w:p>
            <w:pPr>
              <w:jc w:val="center"/>
            </w:pPr>
            <w:r>
              <w:drawing>
                <wp:inline>
                  <wp:extent cx="5943600" cy="2971800"/>
                  <wp:effectExtent b="0" l="0" r="0" t="0"/>
                  <wp:docPr descr="" title="" id="35" name="Picture"/>
                  <a:graphic>
                    <a:graphicData uri="http://schemas.openxmlformats.org/drawingml/2006/picture">
                      <pic:pic>
                        <pic:nvPicPr>
                          <pic:cNvPr descr="./output/figures/fig_guich.png" id="36" name="Picture"/>
                          <pic:cNvPicPr>
                            <a:picLocks noChangeArrowheads="1" noChangeAspect="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3— Results for L. guichenoti. A)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B) Distribution of the estimates of the slopes per each treatment. The x-axis represents the estimates of the slopes, and the y-axis represents the density of the estimates. The different colours represent the different treatments.</w:t>
            </w:r>
          </w:p>
          <w:bookmarkEnd w:id="37"/>
        </w:tc>
      </w:tr>
    </w:tbl>
    <w:p>
      <w:pPr>
        <w:pStyle w:val="BodyText"/>
      </w:pPr>
      <w:r>
        <w:t xml:space="preserve">Finally, when all individuals from all the treatments were pooled together and species were compared, there were not significant differences in the estimated slopes (</w:t>
      </w:r>
      <w:r>
        <w:rPr>
          <w:iCs/>
          <w:i/>
        </w:rPr>
        <w:t xml:space="preserve">L. delicata</w:t>
      </w:r>
      <w:r>
        <w:t xml:space="preserve"> </w:t>
      </w:r>
      <w:r>
        <w:t xml:space="preserve">-</w:t>
      </w:r>
      <w:r>
        <w:t xml:space="preserve"> </w:t>
      </w:r>
      <w:r>
        <w:rPr>
          <w:iCs/>
          <w:i/>
        </w:rPr>
        <w:t xml:space="preserve">L. guichenoti</w:t>
      </w:r>
      <w:r>
        <w:t xml:space="preserve"> </w:t>
      </w:r>
      <w:r>
        <w:t xml:space="preserve">= -0.033, p-value = 0.317).</w:t>
      </w:r>
    </w:p>
    <w:bookmarkEnd w:id="38"/>
    <w:bookmarkStart w:id="39" w:name="discussion"/>
    <w:p>
      <w:pPr>
        <w:pStyle w:val="Heading2"/>
      </w:pPr>
      <w:r>
        <w:t xml:space="preserve">Discussion</w:t>
      </w:r>
    </w:p>
    <w:p>
      <w:pPr>
        <w:pStyle w:val="FirstParagraph"/>
      </w:pPr>
      <w:r>
        <w:t xml:space="preserve">The study embarked on unravelling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 history traits, only</w:t>
      </w:r>
      <w:r>
        <w:t xml:space="preserve"> </w:t>
      </w:r>
      <w:r>
        <w:rPr>
          <w:iCs/>
          <w:i/>
        </w:rPr>
        <w:t xml:space="preserve">L. delicata</w:t>
      </w:r>
      <w:r>
        <w:t xml:space="preserve"> </w:t>
      </w:r>
      <w:r>
        <w:t xml:space="preserve">has proven successful in colonising various global regions, and we hypothesised this may be related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that performed better in the previous associative task were included (see Supplementary material).</w:t>
      </w:r>
      <w:r>
        <w:br/>
      </w: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 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r>
        <w:br/>
      </w: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Our outcome contrasts with previous studies that show impairments of high GCs levels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28</w:t>
        </w:r>
      </w:hyperlink>
      <w:r>
        <w:t xml:space="preserve">,</w:t>
      </w:r>
      <w:hyperlink w:anchor="ref-farrell_developmental_2016">
        <w:r>
          <w:rPr>
            <w:rStyle w:val="Hyperlink"/>
          </w:rPr>
          <w:t xml:space="preserve">29</w:t>
        </w:r>
      </w:hyperlink>
      <w:r>
        <w:t xml:space="preserve">]</w:t>
      </w:r>
      <w:r>
        <w:t xml:space="preserve">, but they are consistent with other experiments where GCs increased or did not impact learning abilities</w:t>
      </w:r>
      <w:r>
        <w:t xml:space="preserve"> </w:t>
      </w:r>
      <w:r>
        <w:t xml:space="preserve">[</w:t>
      </w:r>
      <w:hyperlink w:anchor="ref-szuran_water_1994">
        <w:r>
          <w:rPr>
            <w:rStyle w:val="Hyperlink"/>
          </w:rPr>
          <w:t xml:space="preserve">30</w:t>
        </w:r>
      </w:hyperlink>
      <w:r>
        <w:t xml:space="preserve">,</w:t>
      </w:r>
      <w:hyperlink w:anchor="ref-bebus_associative_2016">
        <w:r>
          <w:rPr>
            <w:rStyle w:val="Hyperlink"/>
          </w:rPr>
          <w:t xml:space="preserve">31</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amiel_hotter_2012">
        <w:r>
          <w:rPr>
            <w:rStyle w:val="Hyperlink"/>
          </w:rPr>
          <w:t xml:space="preserve">13</w:t>
        </w:r>
      </w:hyperlink>
      <w:r>
        <w:t xml:space="preserve">,</w:t>
      </w:r>
      <w:hyperlink w:anchor="ref-clark_colour_2014">
        <w:r>
          <w:rPr>
            <w:rStyle w:val="Hyperlink"/>
          </w:rPr>
          <w:t xml:space="preserve">15</w:t>
        </w:r>
      </w:hyperlink>
      <w:r>
        <w:t xml:space="preserve">,</w:t>
      </w:r>
      <w:hyperlink w:anchor="ref-amiel_egg_2014">
        <w:r>
          <w:rPr>
            <w:rStyle w:val="Hyperlink"/>
          </w:rPr>
          <w:t xml:space="preserve">32</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33</w:t>
        </w:r>
      </w:hyperlink>
      <w:r>
        <w:t xml:space="preserve">,</w:t>
      </w:r>
      <w:hyperlink w:anchor="ref-abayarathna_effects_2020">
        <w:r>
          <w:rPr>
            <w:rStyle w:val="Hyperlink"/>
          </w:rPr>
          <w:t xml:space="preserve">34</w:t>
        </w:r>
      </w:hyperlink>
      <w:r>
        <w:t xml:space="preserve">]</w:t>
      </w:r>
      <w:r>
        <w:t xml:space="preserve"> </w:t>
      </w:r>
      <w:r>
        <w:t xml:space="preserve">used incubation temperatures far beyond the natural range in the hot treatment. In some systems, exposure to CORT during development has hormetic effects on learning and neural structures</w:t>
      </w:r>
      <w:r>
        <w:t xml:space="preserve"> </w:t>
      </w:r>
      <w:r>
        <w:t xml:space="preserve">[</w:t>
      </w:r>
      <w:hyperlink w:anchor="ref-du_dynamic_2009">
        <w:r>
          <w:rPr>
            <w:rStyle w:val="Hyperlink"/>
          </w:rPr>
          <w:t xml:space="preserve">35</w:t>
        </w:r>
      </w:hyperlink>
      <w:r>
        <w:t xml:space="preserve">,</w:t>
      </w:r>
      <w:hyperlink w:anchor="ref-mcewen_brain_2012">
        <w:r>
          <w:rPr>
            <w:rStyle w:val="Hyperlink"/>
          </w:rPr>
          <w:t xml:space="preserve">36</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37</w:t>
        </w:r>
      </w:hyperlink>
      <w:r>
        <w:t xml:space="preserve">]</w:t>
      </w:r>
      <w:r>
        <w:t xml:space="preserve">. We know that prenatal CORT treatment affects other traits in both species of lizards used in this experiment (unpublished data). However, it is possible that prenatal CORT treatment affects tissues differently. Conversely, it is likely that the effects of the early environment may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16</w:t>
        </w:r>
      </w:hyperlink>
      <w:r>
        <w:t xml:space="preserve">,</w:t>
      </w:r>
      <w:hyperlink w:anchor="ref-lemaire_prenatal_2000">
        <w:r>
          <w:rPr>
            <w:rStyle w:val="Hyperlink"/>
          </w:rPr>
          <w:t xml:space="preserve">28</w:t>
        </w:r>
      </w:hyperlink>
      <w:r>
        <w:t xml:space="preserve">,</w:t>
      </w:r>
      <w:hyperlink w:anchor="ref-sakata_neural_2000">
        <w:r>
          <w:rPr>
            <w:rStyle w:val="Hyperlink"/>
          </w:rPr>
          <w:t xml:space="preserve">38</w:t>
        </w:r>
      </w:hyperlink>
      <w:r>
        <w:t xml:space="preserve">]</w:t>
      </w:r>
      <w:r>
        <w:t xml:space="preserve">. These hypotheses are not mutually exclusive and could be tested in future experiments using multiple doses of prenatal CORT treatment, assessing learning using multiple cognitive tasks, and by measuring the neurophysiological effects on different brain nuclei.</w:t>
      </w:r>
      <w:r>
        <w:br/>
      </w: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9"/>
    <w:bookmarkStart w:id="97" w:name="references"/>
    <w:p>
      <w:pPr>
        <w:pStyle w:val="Heading2"/>
      </w:pPr>
      <w:r>
        <w:t xml:space="preserve">References</w:t>
      </w:r>
    </w:p>
    <w:bookmarkStart w:id="96" w:name="refs"/>
    <w:bookmarkStart w:id="40"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40"/>
    <w:bookmarkStart w:id="41"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41"/>
    <w:bookmarkStart w:id="42"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42"/>
    <w:bookmarkStart w:id="43"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43"/>
    <w:bookmarkStart w:id="44"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4"/>
    <w:bookmarkStart w:id="45"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5"/>
    <w:bookmarkStart w:id="46"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6"/>
    <w:bookmarkStart w:id="48"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47">
        <w:r>
          <w:rPr>
            <w:rStyle w:val="Hyperlink"/>
          </w:rPr>
          <w:t xml:space="preserve">10.1371/journal.pone.0018277</w:t>
        </w:r>
      </w:hyperlink>
      <w:r>
        <w:t xml:space="preserve">)</w:t>
      </w:r>
    </w:p>
    <w:bookmarkEnd w:id="48"/>
    <w:bookmarkStart w:id="50"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49">
        <w:r>
          <w:rPr>
            <w:rStyle w:val="Hyperlink"/>
          </w:rPr>
          <w:t xml:space="preserve">10.1002/jnr.20338</w:t>
        </w:r>
      </w:hyperlink>
      <w:r>
        <w:t xml:space="preserve">)</w:t>
      </w:r>
    </w:p>
    <w:bookmarkEnd w:id="50"/>
    <w:bookmarkStart w:id="51"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51"/>
    <w:bookmarkStart w:id="52"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52"/>
    <w:bookmarkStart w:id="53" w:name="ref-jonson1976effect"/>
    <w:p>
      <w:pPr>
        <w:pStyle w:val="Bibliography"/>
      </w:pPr>
      <w:r>
        <w:t xml:space="preserve">12.</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3"/>
    <w:bookmarkStart w:id="55" w:name="ref-amiel_hotter_2012"/>
    <w:p>
      <w:pPr>
        <w:pStyle w:val="Bibliography"/>
      </w:pPr>
      <w:r>
        <w:t xml:space="preserve">13.</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54">
        <w:r>
          <w:rPr>
            <w:rStyle w:val="Hyperlink"/>
          </w:rPr>
          <w:t xml:space="preserve">10.1098/rsbl.2011.1161</w:t>
        </w:r>
      </w:hyperlink>
      <w:r>
        <w:t xml:space="preserve">)</w:t>
      </w:r>
    </w:p>
    <w:bookmarkEnd w:id="55"/>
    <w:bookmarkStart w:id="56" w:name="ref-lui2017chronic"/>
    <w:p>
      <w:pPr>
        <w:pStyle w:val="Bibliography"/>
      </w:pPr>
      <w:r>
        <w:t xml:space="preserve">14.</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56"/>
    <w:bookmarkStart w:id="58" w:name="ref-clark_colour_2014"/>
    <w:p>
      <w:pPr>
        <w:pStyle w:val="Bibliography"/>
      </w:pPr>
      <w:r>
        <w:t xml:space="preserve">15.</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57">
        <w:r>
          <w:rPr>
            <w:rStyle w:val="Hyperlink"/>
          </w:rPr>
          <w:t xml:space="preserve">10.1007/s00265-013-1639-x</w:t>
        </w:r>
      </w:hyperlink>
      <w:r>
        <w:t xml:space="preserve">)</w:t>
      </w:r>
    </w:p>
    <w:bookmarkEnd w:id="58"/>
    <w:bookmarkStart w:id="60" w:name="ref-coomber_independent_1997"/>
    <w:p>
      <w:pPr>
        <w:pStyle w:val="Bibliography"/>
      </w:pPr>
      <w:r>
        <w:t xml:space="preserve">16.</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9">
        <w:r>
          <w:rPr>
            <w:rStyle w:val="Hyperlink"/>
          </w:rPr>
          <w:t xml:space="preserve">10.1002/(SICI)1096-9861(19970414)380:3&lt;409::AID-CNE9&gt;3.0.CO;2-6</w:t>
        </w:r>
      </w:hyperlink>
      <w:r>
        <w:t xml:space="preserve">)</w:t>
      </w:r>
    </w:p>
    <w:bookmarkEnd w:id="60"/>
    <w:bookmarkStart w:id="62" w:name="ref-amiel_effects_2017"/>
    <w:p>
      <w:pPr>
        <w:pStyle w:val="Bibliography"/>
      </w:pPr>
      <w:r>
        <w:t xml:space="preserve">17.</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61">
        <w:r>
          <w:rPr>
            <w:rStyle w:val="Hyperlink"/>
          </w:rPr>
          <w:t xml:space="preserve">10.1007/s10071-016-0993-2</w:t>
        </w:r>
      </w:hyperlink>
      <w:r>
        <w:t xml:space="preserve">)</w:t>
      </w:r>
    </w:p>
    <w:bookmarkEnd w:id="62"/>
    <w:bookmarkStart w:id="63"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63"/>
    <w:bookmarkStart w:id="64"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4"/>
    <w:bookmarkStart w:id="65"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5"/>
    <w:bookmarkStart w:id="67"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6">
        <w:r>
          <w:rPr>
            <w:rStyle w:val="Hyperlink"/>
          </w:rPr>
          <w:t xml:space="preserve">10.1002/ece3.22</w:t>
        </w:r>
      </w:hyperlink>
      <w:r>
        <w:t xml:space="preserve">)</w:t>
      </w:r>
    </w:p>
    <w:bookmarkEnd w:id="67"/>
    <w:bookmarkStart w:id="69"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68">
        <w:r>
          <w:rPr>
            <w:rStyle w:val="Hyperlink"/>
          </w:rPr>
          <w:t xml:space="preserve">10.1071/ZO14098</w:t>
        </w:r>
      </w:hyperlink>
      <w:r>
        <w:t xml:space="preserve">)</w:t>
      </w:r>
    </w:p>
    <w:bookmarkEnd w:id="69"/>
    <w:bookmarkStart w:id="70"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70"/>
    <w:bookmarkStart w:id="71" w:name="ref-chapple2016origin"/>
    <w:p>
      <w:pPr>
        <w:pStyle w:val="Bibliography"/>
      </w:pPr>
      <w:r>
        <w:t xml:space="preserve">24.</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71"/>
    <w:bookmarkStart w:id="72" w:name="ref-Baden_Osorio_2019_Vert_vision"/>
    <w:p>
      <w:pPr>
        <w:pStyle w:val="Bibliography"/>
      </w:pPr>
      <w:r>
        <w:t xml:space="preserve">25.</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2"/>
    <w:bookmarkStart w:id="73" w:name="ref-burkner2017brms"/>
    <w:p>
      <w:pPr>
        <w:pStyle w:val="Bibliography"/>
      </w:pPr>
      <w:r>
        <w:t xml:space="preserve">26.</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3"/>
    <w:bookmarkStart w:id="75" w:name="ref-R"/>
    <w:p>
      <w:pPr>
        <w:pStyle w:val="Bibliography"/>
      </w:pPr>
      <w:r>
        <w:t xml:space="preserve">27.</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4">
        <w:r>
          <w:rPr>
            <w:rStyle w:val="Hyperlink"/>
          </w:rPr>
          <w:t xml:space="preserve">https://www.R-project.org/</w:t>
        </w:r>
      </w:hyperlink>
      <w:r>
        <w:t xml:space="preserve">.</w:t>
      </w:r>
    </w:p>
    <w:bookmarkEnd w:id="75"/>
    <w:bookmarkStart w:id="77" w:name="ref-lemaire_prenatal_2000"/>
    <w:p>
      <w:pPr>
        <w:pStyle w:val="Bibliography"/>
      </w:pPr>
      <w:r>
        <w:t xml:space="preserve">28.</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76">
        <w:r>
          <w:rPr>
            <w:rStyle w:val="Hyperlink"/>
          </w:rPr>
          <w:t xml:space="preserve">10.1073/pnas.97.20.11032</w:t>
        </w:r>
      </w:hyperlink>
      <w:r>
        <w:t xml:space="preserve">)</w:t>
      </w:r>
    </w:p>
    <w:bookmarkEnd w:id="77"/>
    <w:bookmarkStart w:id="79" w:name="ref-farrell_developmental_2016"/>
    <w:p>
      <w:pPr>
        <w:pStyle w:val="Bibliography"/>
      </w:pPr>
      <w:r>
        <w:t xml:space="preserve">29.</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78">
        <w:r>
          <w:rPr>
            <w:rStyle w:val="Hyperlink"/>
          </w:rPr>
          <w:t xml:space="preserve">10.1007/s10071-015-0908-7</w:t>
        </w:r>
      </w:hyperlink>
      <w:r>
        <w:t xml:space="preserve">)</w:t>
      </w:r>
    </w:p>
    <w:bookmarkEnd w:id="79"/>
    <w:bookmarkStart w:id="81" w:name="ref-szuran_water_1994"/>
    <w:p>
      <w:pPr>
        <w:pStyle w:val="Bibliography"/>
      </w:pPr>
      <w:r>
        <w:t xml:space="preserve">30.</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80">
        <w:r>
          <w:rPr>
            <w:rStyle w:val="Hyperlink"/>
          </w:rPr>
          <w:t xml:space="preserve">10.1016/0166-4328(94)90100-7</w:t>
        </w:r>
      </w:hyperlink>
      <w:r>
        <w:t xml:space="preserve">)</w:t>
      </w:r>
    </w:p>
    <w:bookmarkEnd w:id="81"/>
    <w:bookmarkStart w:id="83" w:name="ref-bebus_associative_2016"/>
    <w:p>
      <w:pPr>
        <w:pStyle w:val="Bibliography"/>
      </w:pPr>
      <w:r>
        <w:t xml:space="preserve">31.</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2">
        <w:r>
          <w:rPr>
            <w:rStyle w:val="Hyperlink"/>
          </w:rPr>
          <w:t xml:space="preserve">10.1016/j.anbehav.2015.10.027</w:t>
        </w:r>
      </w:hyperlink>
      <w:r>
        <w:t xml:space="preserve">)</w:t>
      </w:r>
    </w:p>
    <w:bookmarkEnd w:id="83"/>
    <w:bookmarkStart w:id="85" w:name="ref-amiel_egg_2014"/>
    <w:p>
      <w:pPr>
        <w:pStyle w:val="Bibliography"/>
      </w:pPr>
      <w:r>
        <w:t xml:space="preserve">32.</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84">
        <w:r>
          <w:rPr>
            <w:rStyle w:val="Hyperlink"/>
          </w:rPr>
          <w:t xml:space="preserve">10.1007/s10071-013-0665-4</w:t>
        </w:r>
      </w:hyperlink>
      <w:r>
        <w:t xml:space="preserve">)</w:t>
      </w:r>
    </w:p>
    <w:bookmarkEnd w:id="85"/>
    <w:bookmarkStart w:id="87" w:name="ref-dayananda_incubation_2017"/>
    <w:p>
      <w:pPr>
        <w:pStyle w:val="Bibliography"/>
      </w:pPr>
      <w:r>
        <w:t xml:space="preserve">33.</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86">
        <w:r>
          <w:rPr>
            <w:rStyle w:val="Hyperlink"/>
          </w:rPr>
          <w:t xml:space="preserve">10.1098/rsbl.2017.0002</w:t>
        </w:r>
      </w:hyperlink>
      <w:r>
        <w:t xml:space="preserve">)</w:t>
      </w:r>
    </w:p>
    <w:bookmarkEnd w:id="87"/>
    <w:bookmarkStart w:id="89" w:name="ref-abayarathna_effects_2020"/>
    <w:p>
      <w:pPr>
        <w:pStyle w:val="Bibliography"/>
      </w:pPr>
      <w:r>
        <w:t xml:space="preserve">34.</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8">
        <w:r>
          <w:rPr>
            <w:rStyle w:val="Hyperlink"/>
          </w:rPr>
          <w:t xml:space="preserve">10.1007/s10071-020-01365-4</w:t>
        </w:r>
      </w:hyperlink>
      <w:r>
        <w:t xml:space="preserve">)</w:t>
      </w:r>
    </w:p>
    <w:bookmarkEnd w:id="89"/>
    <w:bookmarkStart w:id="91" w:name="ref-du_dynamic_2009"/>
    <w:p>
      <w:pPr>
        <w:pStyle w:val="Bibliography"/>
      </w:pPr>
      <w:r>
        <w:t xml:space="preserve">35.</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0">
        <w:r>
          <w:rPr>
            <w:rStyle w:val="Hyperlink"/>
          </w:rPr>
          <w:t xml:space="preserve">10.1073/pnas.0812671106</w:t>
        </w:r>
      </w:hyperlink>
      <w:r>
        <w:t xml:space="preserve">)</w:t>
      </w:r>
    </w:p>
    <w:bookmarkEnd w:id="91"/>
    <w:bookmarkStart w:id="93" w:name="ref-mcewen_brain_2012"/>
    <w:p>
      <w:pPr>
        <w:pStyle w:val="Bibliography"/>
      </w:pPr>
      <w:r>
        <w:t xml:space="preserve">36.</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2">
        <w:r>
          <w:rPr>
            <w:rStyle w:val="Hyperlink"/>
          </w:rPr>
          <w:t xml:space="preserve">10.1073/pnas.1121254109</w:t>
        </w:r>
      </w:hyperlink>
      <w:r>
        <w:t xml:space="preserve">)</w:t>
      </w:r>
    </w:p>
    <w:bookmarkEnd w:id="93"/>
    <w:bookmarkStart w:id="94" w:name="ref-DOSEneurobrummelte2010chronic"/>
    <w:p>
      <w:pPr>
        <w:pStyle w:val="Bibliography"/>
      </w:pPr>
      <w:r>
        <w:t xml:space="preserve">37.</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4"/>
    <w:bookmarkStart w:id="95" w:name="ref-sakata_neural_2000"/>
    <w:p>
      <w:pPr>
        <w:pStyle w:val="Bibliography"/>
      </w:pPr>
      <w:r>
        <w:t xml:space="preserve">38.</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95"/>
    <w:bookmarkEnd w:id="96"/>
    <w:p>
      <w:r>
        <w:br w:type="page"/>
      </w:r>
    </w:p>
    <w:bookmarkEnd w:id="97"/>
    <w:bookmarkStart w:id="123" w:name="suplementary-material"/>
    <w:p>
      <w:pPr>
        <w:pStyle w:val="Heading1"/>
      </w:pPr>
      <w:r>
        <w:t xml:space="preserve">Suplementary Material</w:t>
      </w:r>
    </w:p>
    <w:bookmarkStart w:id="101" w:name="methods-details"/>
    <w:p>
      <w:pPr>
        <w:pStyle w:val="Heading4"/>
      </w:pPr>
      <w:r>
        <w:t xml:space="preserve">Methods details</w:t>
      </w:r>
    </w:p>
    <w:bookmarkStart w:id="9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r>
        <w:br/>
      </w: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r>
        <w:br/>
      </w: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r>
        <w:br/>
      </w: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98"/>
    <w:bookmarkStart w:id="9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99"/>
    <w:bookmarkStart w:id="10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25</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r>
        <w:br/>
      </w: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00"/>
    <w:bookmarkEnd w:id="101"/>
    <w:bookmarkStart w:id="120" w:name="checking-the-models-plots"/>
    <w:p>
      <w:pPr>
        <w:pStyle w:val="Heading4"/>
      </w:pPr>
      <w:r>
        <w:t xml:space="preserve">Checking the models plots</w:t>
      </w:r>
    </w:p>
    <w:p>
      <w:pPr>
        <w:pStyle w:val="FirstParagraph"/>
      </w:pPr>
      <w:r>
        <w:t xml:space="preserve">Model formula for the reversal task is:</w:t>
      </w:r>
      <w:r>
        <w:br/>
      </w:r>
      <w:r>
        <w:t xml:space="preserve">Choice ~ trial_reversal</w:t>
      </w:r>
      <w:r>
        <w:rPr>
          <w:iCs/>
          <w:i/>
        </w:rPr>
        <w:t xml:space="preserve">cort</w:t>
      </w:r>
      <w:r>
        <w:t xml:space="preserve">temp + (1 + trial_reversal|lizard_id)</w:t>
      </w:r>
      <w:r>
        <w:br/>
      </w: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3" name="Picture"/>
                  <a:graphic>
                    <a:graphicData uri="http://schemas.openxmlformats.org/drawingml/2006/picture">
                      <pic:pic>
                        <pic:nvPicPr>
                          <pic:cNvPr descr="ms_files/figure-docx/plotmod_drr-1.png" id="104" name="Picture"/>
                          <pic:cNvPicPr>
                            <a:picLocks noChangeArrowheads="1" noChangeAspect="1"/>
                          </pic:cNvPicPr>
                        </pic:nvPicPr>
                        <pic:blipFill>
                          <a:blip r:embed="rId10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6" name="Picture"/>
                  <a:graphic>
                    <a:graphicData uri="http://schemas.openxmlformats.org/drawingml/2006/picture">
                      <pic:pic>
                        <pic:nvPicPr>
                          <pic:cNvPr descr="ms_files/figure-docx/plotmod_drr-2.png" id="107" name="Picture"/>
                          <pic:cNvPicPr>
                            <a:picLocks noChangeArrowheads="1" noChangeAspect="1"/>
                          </pic:cNvPicPr>
                        </pic:nvPicPr>
                        <pic:blipFill>
                          <a:blip r:embed="rId10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09" name="Picture"/>
                  <a:graphic>
                    <a:graphicData uri="http://schemas.openxmlformats.org/drawingml/2006/picture">
                      <pic:pic>
                        <pic:nvPicPr>
                          <pic:cNvPr descr="ms_files/figure-docx/plotmod_drr-3.png" id="110" name="Picture"/>
                          <pic:cNvPicPr>
                            <a:picLocks noChangeArrowheads="1" noChangeAspect="1"/>
                          </pic:cNvPicPr>
                        </pic:nvPicPr>
                        <pic:blipFill>
                          <a:blip r:embed="rId10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2" name="Picture"/>
                  <a:graphic>
                    <a:graphicData uri="http://schemas.openxmlformats.org/drawingml/2006/picture">
                      <pic:pic>
                        <pic:nvPicPr>
                          <pic:cNvPr descr="ms_files/figure-docx/plotmod_grr-1.png" id="113" name="Picture"/>
                          <pic:cNvPicPr>
                            <a:picLocks noChangeArrowheads="1" noChangeAspect="1"/>
                          </pic:cNvPicPr>
                        </pic:nvPicPr>
                        <pic:blipFill>
                          <a:blip r:embed="rId11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5" name="Picture"/>
                  <a:graphic>
                    <a:graphicData uri="http://schemas.openxmlformats.org/drawingml/2006/picture">
                      <pic:pic>
                        <pic:nvPicPr>
                          <pic:cNvPr descr="ms_files/figure-docx/plotmod_grr-2.png" id="116" name="Picture"/>
                          <pic:cNvPicPr>
                            <a:picLocks noChangeArrowheads="1" noChangeAspect="1"/>
                          </pic:cNvPicPr>
                        </pic:nvPicPr>
                        <pic:blipFill>
                          <a:blip r:embed="rId11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8" name="Picture"/>
                  <a:graphic>
                    <a:graphicData uri="http://schemas.openxmlformats.org/drawingml/2006/picture">
                      <pic:pic>
                        <pic:nvPicPr>
                          <pic:cNvPr descr="ms_files/figure-docx/plotmod_grr-3.png" id="119" name="Picture"/>
                          <pic:cNvPicPr>
                            <a:picLocks noChangeArrowheads="1" noChangeAspect="1"/>
                          </pic:cNvPicPr>
                        </pic:nvPicPr>
                        <pic:blipFill>
                          <a:blip r:embed="rId11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20"/>
    <w:bookmarkStart w:id="122" w:name="X1611a6fc98c0696fff5587648e81ab7695687c6"/>
    <w:p>
      <w:pPr>
        <w:pStyle w:val="Heading4"/>
      </w:pPr>
      <w:r>
        <w:t xml:space="preserve">Results employing only those individuals that passed a learning criterion of 80% correct choices in the last 10 trials of the associative task</w:t>
      </w:r>
    </w:p>
    <w:bookmarkStart w:id="121"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p-value</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FirstParagraph"/>
      </w:pPr>
      <w:r>
        <w:rPr>
          <w:bCs/>
          <w:b/>
        </w:rPr>
        <w:t xml:space="preserve">?(caption)</w:t>
      </w:r>
    </w:p>
    <w:bookmarkEnd w:id="121"/>
    <w:bookmarkEnd w:id="122"/>
    <w:bookmarkEnd w:id="123"/>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svgz"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59" Target="https://doi.org/10.1002/(SICI)1096-9861(19970414)380:3&lt;409::AID-CNE9&gt;3.0.CO;2-6" TargetMode="External" /><Relationship Type="http://schemas.openxmlformats.org/officeDocument/2006/relationships/hyperlink" Id="rId66" Target="https://doi.org/10.1002/ece3.22" TargetMode="External" /><Relationship Type="http://schemas.openxmlformats.org/officeDocument/2006/relationships/hyperlink" Id="rId49" Target="https://doi.org/10.1002/jnr.20338" TargetMode="External" /><Relationship Type="http://schemas.openxmlformats.org/officeDocument/2006/relationships/hyperlink" Id="rId57"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8"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80" Target="https://doi.org/10.1016/0166-4328(94)90100-7" TargetMode="External" /><Relationship Type="http://schemas.openxmlformats.org/officeDocument/2006/relationships/hyperlink" Id="rId82" Target="https://doi.org/10.1016/j.anbehav.2015.10.027" TargetMode="External" /><Relationship Type="http://schemas.openxmlformats.org/officeDocument/2006/relationships/hyperlink" Id="rId68"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6" Target="https://doi.org/10.1073/pnas.97.20.11032" TargetMode="External" /><Relationship Type="http://schemas.openxmlformats.org/officeDocument/2006/relationships/hyperlink" Id="rId54"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7" Target="https://doi.org/10.1371/journal.pone.0018277" TargetMode="External" /><Relationship Type="http://schemas.openxmlformats.org/officeDocument/2006/relationships/hyperlink" Id="rId74"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9" Target="https://doi.org/10.1002/(SICI)1096-9861(19970414)380:3&lt;409::AID-CNE9&gt;3.0.CO;2-6" TargetMode="External" /><Relationship Type="http://schemas.openxmlformats.org/officeDocument/2006/relationships/hyperlink" Id="rId66" Target="https://doi.org/10.1002/ece3.22" TargetMode="External" /><Relationship Type="http://schemas.openxmlformats.org/officeDocument/2006/relationships/hyperlink" Id="rId49" Target="https://doi.org/10.1002/jnr.20338" TargetMode="External" /><Relationship Type="http://schemas.openxmlformats.org/officeDocument/2006/relationships/hyperlink" Id="rId57" Target="https://doi.org/10.1007/s00265-013-1639-x" TargetMode="External" /><Relationship Type="http://schemas.openxmlformats.org/officeDocument/2006/relationships/hyperlink" Id="rId84" Target="https://doi.org/10.1007/s10071-013-0665-4" TargetMode="External" /><Relationship Type="http://schemas.openxmlformats.org/officeDocument/2006/relationships/hyperlink" Id="rId78"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88" Target="https://doi.org/10.1007/s10071-020-01365-4" TargetMode="External" /><Relationship Type="http://schemas.openxmlformats.org/officeDocument/2006/relationships/hyperlink" Id="rId80" Target="https://doi.org/10.1016/0166-4328(94)90100-7" TargetMode="External" /><Relationship Type="http://schemas.openxmlformats.org/officeDocument/2006/relationships/hyperlink" Id="rId82" Target="https://doi.org/10.1016/j.anbehav.2015.10.027" TargetMode="External" /><Relationship Type="http://schemas.openxmlformats.org/officeDocument/2006/relationships/hyperlink" Id="rId68" Target="https://doi.org/10.1071/ZO14098" TargetMode="External" /><Relationship Type="http://schemas.openxmlformats.org/officeDocument/2006/relationships/hyperlink" Id="rId90" Target="https://doi.org/10.1073/pnas.0812671106" TargetMode="External" /><Relationship Type="http://schemas.openxmlformats.org/officeDocument/2006/relationships/hyperlink" Id="rId92" Target="https://doi.org/10.1073/pnas.1121254109" TargetMode="External" /><Relationship Type="http://schemas.openxmlformats.org/officeDocument/2006/relationships/hyperlink" Id="rId76" Target="https://doi.org/10.1073/pnas.97.20.11032" TargetMode="External" /><Relationship Type="http://schemas.openxmlformats.org/officeDocument/2006/relationships/hyperlink" Id="rId54" Target="https://doi.org/10.1098/rsbl.2011.1161" TargetMode="External" /><Relationship Type="http://schemas.openxmlformats.org/officeDocument/2006/relationships/hyperlink" Id="rId86" Target="https://doi.org/10.1098/rsbl.2017.0002" TargetMode="External" /><Relationship Type="http://schemas.openxmlformats.org/officeDocument/2006/relationships/hyperlink" Id="rId47" Target="https://doi.org/10.1371/journal.pone.0018277" TargetMode="External" /><Relationship Type="http://schemas.openxmlformats.org/officeDocument/2006/relationships/hyperlink" Id="rId74"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35</Pages>
  <Words>5492</Words>
  <Characters>31307</Characters>
  <Application>Microsoft Office Word</Application>
  <DocSecurity>0</DocSecurity>
  <Lines>260</Lines>
  <Paragraphs>73</Paragraphs>
  <ScaleCrop>false</ScaleCrop>
  <Company/>
  <LinksUpToDate>false</LinksUpToDate>
  <CharactersWithSpaces>36726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2024-02-29T08:17:48Z</dcterms:created>
  <dcterms:modified xsi:type="dcterms:W3CDTF">2024-02-29T08:17:48Z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